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4976B" w14:textId="2C899E7D" w:rsidR="00531314" w:rsidRDefault="00531314" w:rsidP="00ED2414">
      <w:pPr>
        <w:jc w:val="center"/>
        <w:rPr>
          <w:b/>
          <w:bCs/>
          <w:sz w:val="36"/>
          <w:szCs w:val="36"/>
        </w:rPr>
      </w:pPr>
      <w:r>
        <w:rPr>
          <w:b/>
          <w:bCs/>
          <w:noProof/>
          <w:sz w:val="28"/>
          <w:szCs w:val="28"/>
        </w:rPr>
        <w:drawing>
          <wp:anchor distT="0" distB="0" distL="114300" distR="114300" simplePos="0" relativeHeight="251658240" behindDoc="0" locked="0" layoutInCell="1" allowOverlap="1" wp14:anchorId="094FC010" wp14:editId="3E3F08AE">
            <wp:simplePos x="0" y="0"/>
            <wp:positionH relativeFrom="margin">
              <wp:posOffset>-733425</wp:posOffset>
            </wp:positionH>
            <wp:positionV relativeFrom="paragraph">
              <wp:posOffset>-742950</wp:posOffset>
            </wp:positionV>
            <wp:extent cx="1981200" cy="1676401"/>
            <wp:effectExtent l="0" t="0" r="0"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81200" cy="1676401"/>
                    </a:xfrm>
                    <a:prstGeom prst="rect">
                      <a:avLst/>
                    </a:prstGeom>
                  </pic:spPr>
                </pic:pic>
              </a:graphicData>
            </a:graphic>
            <wp14:sizeRelH relativeFrom="margin">
              <wp14:pctWidth>0</wp14:pctWidth>
            </wp14:sizeRelH>
            <wp14:sizeRelV relativeFrom="margin">
              <wp14:pctHeight>0</wp14:pctHeight>
            </wp14:sizeRelV>
          </wp:anchor>
        </w:drawing>
      </w:r>
    </w:p>
    <w:p w14:paraId="60976584" w14:textId="64E27C75" w:rsidR="00531314" w:rsidRDefault="00531314" w:rsidP="00ED2414">
      <w:pPr>
        <w:jc w:val="center"/>
        <w:rPr>
          <w:b/>
          <w:bCs/>
          <w:sz w:val="36"/>
          <w:szCs w:val="36"/>
        </w:rPr>
      </w:pPr>
    </w:p>
    <w:p w14:paraId="48352692" w14:textId="77777777" w:rsidR="00531314" w:rsidRDefault="00531314" w:rsidP="00ED2414">
      <w:pPr>
        <w:jc w:val="center"/>
        <w:rPr>
          <w:b/>
          <w:bCs/>
          <w:sz w:val="36"/>
          <w:szCs w:val="36"/>
        </w:rPr>
      </w:pPr>
    </w:p>
    <w:p w14:paraId="16CC3D35" w14:textId="04CF3E61" w:rsidR="00C305BE" w:rsidRPr="00531314" w:rsidRDefault="00ED2414" w:rsidP="00531314">
      <w:pPr>
        <w:jc w:val="center"/>
        <w:rPr>
          <w:b/>
          <w:bCs/>
          <w:sz w:val="36"/>
          <w:szCs w:val="36"/>
        </w:rPr>
      </w:pPr>
      <w:r w:rsidRPr="00531314">
        <w:rPr>
          <w:b/>
          <w:bCs/>
          <w:sz w:val="40"/>
          <w:szCs w:val="40"/>
        </w:rPr>
        <w:t>Swords to Plowshares</w:t>
      </w:r>
    </w:p>
    <w:p w14:paraId="7D4DD0D3" w14:textId="15EEB992" w:rsidR="00C305BE" w:rsidRPr="006869BE" w:rsidRDefault="00C305BE" w:rsidP="00C305BE">
      <w:pPr>
        <w:rPr>
          <w:sz w:val="28"/>
          <w:szCs w:val="28"/>
        </w:rPr>
      </w:pPr>
      <w:r w:rsidRPr="006869BE">
        <w:rPr>
          <w:sz w:val="28"/>
          <w:szCs w:val="28"/>
        </w:rPr>
        <w:t xml:space="preserve">Call </w:t>
      </w:r>
      <w:r w:rsidRPr="006869BE">
        <w:rPr>
          <w:b/>
          <w:bCs/>
          <w:sz w:val="28"/>
          <w:szCs w:val="28"/>
        </w:rPr>
        <w:t>415-727-VETS (8387)</w:t>
      </w:r>
      <w:r w:rsidRPr="006869BE">
        <w:rPr>
          <w:sz w:val="28"/>
          <w:szCs w:val="28"/>
        </w:rPr>
        <w:t xml:space="preserve"> or use the contact us forms via the links below</w:t>
      </w:r>
    </w:p>
    <w:p w14:paraId="1E3C26DD" w14:textId="56296BB8" w:rsidR="00ED2414" w:rsidRPr="006869BE" w:rsidRDefault="00CB519B">
      <w:pPr>
        <w:rPr>
          <w:b/>
          <w:bCs/>
          <w:sz w:val="28"/>
          <w:szCs w:val="28"/>
        </w:rPr>
      </w:pPr>
      <w:hyperlink r:id="rId6" w:history="1">
        <w:r w:rsidR="00ED2414" w:rsidRPr="006869BE">
          <w:rPr>
            <w:rStyle w:val="Hyperlink"/>
            <w:b/>
            <w:bCs/>
            <w:sz w:val="28"/>
            <w:szCs w:val="28"/>
          </w:rPr>
          <w:t>Housing</w:t>
        </w:r>
      </w:hyperlink>
    </w:p>
    <w:p w14:paraId="10AAAE35" w14:textId="1074346C" w:rsidR="00ED2414" w:rsidRPr="006869BE" w:rsidRDefault="00ED2414">
      <w:pPr>
        <w:rPr>
          <w:sz w:val="28"/>
          <w:szCs w:val="28"/>
        </w:rPr>
      </w:pPr>
      <w:r w:rsidRPr="006869BE">
        <w:rPr>
          <w:sz w:val="28"/>
          <w:szCs w:val="28"/>
        </w:rPr>
        <w:t>Swords to Plowshares helps veterans find a place to live and maintain permanent residence. Swords provide housing for over 500 veterans in our supportive housing programs. Swords work one-on-one with veterans to determine the best options for them to meet their individual needs</w:t>
      </w:r>
    </w:p>
    <w:p w14:paraId="550BC177" w14:textId="1186A3CC" w:rsidR="00ED2414" w:rsidRPr="006869BE" w:rsidRDefault="00ED2414">
      <w:pPr>
        <w:rPr>
          <w:sz w:val="28"/>
          <w:szCs w:val="28"/>
        </w:rPr>
      </w:pPr>
      <w:r w:rsidRPr="006869BE">
        <w:rPr>
          <w:sz w:val="28"/>
          <w:szCs w:val="28"/>
        </w:rPr>
        <w:t xml:space="preserve">Types of housing assistance: </w:t>
      </w:r>
    </w:p>
    <w:p w14:paraId="75467730" w14:textId="7891479E" w:rsidR="00ED2414" w:rsidRPr="006869BE" w:rsidRDefault="00ED2414" w:rsidP="00ED2414">
      <w:pPr>
        <w:pStyle w:val="ListParagraph"/>
        <w:numPr>
          <w:ilvl w:val="0"/>
          <w:numId w:val="1"/>
        </w:numPr>
        <w:rPr>
          <w:sz w:val="28"/>
          <w:szCs w:val="28"/>
        </w:rPr>
      </w:pPr>
      <w:r w:rsidRPr="006869BE">
        <w:rPr>
          <w:sz w:val="28"/>
          <w:szCs w:val="28"/>
        </w:rPr>
        <w:t>Emergency &amp; Temporary housing</w:t>
      </w:r>
    </w:p>
    <w:p w14:paraId="787567BD" w14:textId="094063C0" w:rsidR="00ED2414" w:rsidRPr="006869BE" w:rsidRDefault="00ED2414" w:rsidP="00ED2414">
      <w:pPr>
        <w:pStyle w:val="ListParagraph"/>
        <w:numPr>
          <w:ilvl w:val="0"/>
          <w:numId w:val="1"/>
        </w:numPr>
        <w:rPr>
          <w:sz w:val="28"/>
          <w:szCs w:val="28"/>
        </w:rPr>
      </w:pPr>
      <w:r w:rsidRPr="006869BE">
        <w:rPr>
          <w:sz w:val="28"/>
          <w:szCs w:val="28"/>
        </w:rPr>
        <w:t>Transitional Housing</w:t>
      </w:r>
    </w:p>
    <w:p w14:paraId="063F7C38" w14:textId="5374BB36" w:rsidR="00ED2414" w:rsidRPr="006869BE" w:rsidRDefault="00ED2414" w:rsidP="00ED2414">
      <w:pPr>
        <w:pStyle w:val="ListParagraph"/>
        <w:numPr>
          <w:ilvl w:val="0"/>
          <w:numId w:val="1"/>
        </w:numPr>
        <w:rPr>
          <w:sz w:val="28"/>
          <w:szCs w:val="28"/>
        </w:rPr>
      </w:pPr>
      <w:r w:rsidRPr="006869BE">
        <w:rPr>
          <w:sz w:val="28"/>
          <w:szCs w:val="28"/>
        </w:rPr>
        <w:t>Permanent Supportive Housing</w:t>
      </w:r>
    </w:p>
    <w:p w14:paraId="403EF549" w14:textId="6EC015F5" w:rsidR="00ED2414" w:rsidRPr="006869BE" w:rsidRDefault="00ED2414" w:rsidP="00ED2414">
      <w:pPr>
        <w:pStyle w:val="ListParagraph"/>
        <w:numPr>
          <w:ilvl w:val="0"/>
          <w:numId w:val="1"/>
        </w:numPr>
        <w:rPr>
          <w:sz w:val="28"/>
          <w:szCs w:val="28"/>
        </w:rPr>
      </w:pPr>
      <w:r w:rsidRPr="006869BE">
        <w:rPr>
          <w:sz w:val="28"/>
          <w:szCs w:val="28"/>
        </w:rPr>
        <w:t>Rent Support</w:t>
      </w:r>
    </w:p>
    <w:p w14:paraId="58B055AF" w14:textId="052AB0BB" w:rsidR="00ED2414" w:rsidRPr="00CB519B" w:rsidRDefault="00ED2414" w:rsidP="00ED2414">
      <w:pPr>
        <w:pStyle w:val="ListParagraph"/>
        <w:numPr>
          <w:ilvl w:val="0"/>
          <w:numId w:val="1"/>
        </w:numPr>
        <w:rPr>
          <w:sz w:val="28"/>
          <w:szCs w:val="28"/>
        </w:rPr>
      </w:pPr>
      <w:r w:rsidRPr="006869BE">
        <w:rPr>
          <w:sz w:val="28"/>
          <w:szCs w:val="28"/>
        </w:rPr>
        <w:t>Eviction Prevention</w:t>
      </w:r>
    </w:p>
    <w:p w14:paraId="4DBFB332" w14:textId="481E6EF6" w:rsidR="00ED2414" w:rsidRPr="006869BE" w:rsidRDefault="00CB519B" w:rsidP="00ED2414">
      <w:pPr>
        <w:rPr>
          <w:b/>
          <w:bCs/>
          <w:sz w:val="28"/>
          <w:szCs w:val="28"/>
        </w:rPr>
      </w:pPr>
      <w:hyperlink r:id="rId7" w:history="1">
        <w:r w:rsidR="00ED2414" w:rsidRPr="006869BE">
          <w:rPr>
            <w:rStyle w:val="Hyperlink"/>
            <w:b/>
            <w:bCs/>
            <w:sz w:val="28"/>
            <w:szCs w:val="28"/>
          </w:rPr>
          <w:t>Supportive Services</w:t>
        </w:r>
      </w:hyperlink>
    </w:p>
    <w:p w14:paraId="5293B84B" w14:textId="55D1C489" w:rsidR="00ED2414" w:rsidRPr="006869BE" w:rsidRDefault="00ED2414" w:rsidP="00ED2414">
      <w:pPr>
        <w:rPr>
          <w:sz w:val="28"/>
          <w:szCs w:val="28"/>
        </w:rPr>
      </w:pPr>
      <w:r w:rsidRPr="006869BE">
        <w:rPr>
          <w:sz w:val="28"/>
          <w:szCs w:val="28"/>
        </w:rPr>
        <w:t>Types of services:</w:t>
      </w:r>
    </w:p>
    <w:p w14:paraId="6B6D9861" w14:textId="01AC0310" w:rsidR="00ED2414" w:rsidRPr="006869BE" w:rsidRDefault="00ED2414" w:rsidP="00ED2414">
      <w:pPr>
        <w:pStyle w:val="ListParagraph"/>
        <w:numPr>
          <w:ilvl w:val="0"/>
          <w:numId w:val="2"/>
        </w:numPr>
        <w:rPr>
          <w:sz w:val="28"/>
          <w:szCs w:val="28"/>
        </w:rPr>
      </w:pPr>
      <w:r w:rsidRPr="006869BE">
        <w:rPr>
          <w:sz w:val="28"/>
          <w:szCs w:val="28"/>
        </w:rPr>
        <w:t>Case Management</w:t>
      </w:r>
    </w:p>
    <w:p w14:paraId="3EFE2DAB" w14:textId="096CB3AC" w:rsidR="00ED2414" w:rsidRPr="006869BE" w:rsidRDefault="00ED2414" w:rsidP="00ED2414">
      <w:pPr>
        <w:pStyle w:val="ListParagraph"/>
        <w:numPr>
          <w:ilvl w:val="0"/>
          <w:numId w:val="2"/>
        </w:numPr>
        <w:rPr>
          <w:sz w:val="28"/>
          <w:szCs w:val="28"/>
        </w:rPr>
      </w:pPr>
      <w:r w:rsidRPr="006869BE">
        <w:rPr>
          <w:sz w:val="28"/>
          <w:szCs w:val="28"/>
        </w:rPr>
        <w:t>Counseling</w:t>
      </w:r>
    </w:p>
    <w:p w14:paraId="2A357772" w14:textId="039C2180" w:rsidR="00ED2414" w:rsidRPr="006869BE" w:rsidRDefault="00ED2414" w:rsidP="00ED2414">
      <w:pPr>
        <w:pStyle w:val="ListParagraph"/>
        <w:numPr>
          <w:ilvl w:val="0"/>
          <w:numId w:val="2"/>
        </w:numPr>
        <w:rPr>
          <w:sz w:val="28"/>
          <w:szCs w:val="28"/>
        </w:rPr>
      </w:pPr>
      <w:r w:rsidRPr="006869BE">
        <w:rPr>
          <w:sz w:val="28"/>
          <w:szCs w:val="28"/>
        </w:rPr>
        <w:t>Support Groups</w:t>
      </w:r>
    </w:p>
    <w:p w14:paraId="624E372C" w14:textId="26C21585" w:rsidR="00A37A6C" w:rsidRPr="00CB519B" w:rsidRDefault="00ED2414" w:rsidP="00A37A6C">
      <w:pPr>
        <w:pStyle w:val="ListParagraph"/>
        <w:numPr>
          <w:ilvl w:val="0"/>
          <w:numId w:val="2"/>
        </w:numPr>
        <w:rPr>
          <w:sz w:val="28"/>
          <w:szCs w:val="28"/>
        </w:rPr>
      </w:pPr>
      <w:r w:rsidRPr="006869BE">
        <w:rPr>
          <w:sz w:val="28"/>
          <w:szCs w:val="28"/>
        </w:rPr>
        <w:t>VA Healthcare Enrollment</w:t>
      </w:r>
    </w:p>
    <w:p w14:paraId="4CFAA585" w14:textId="089F2E3D" w:rsidR="00A37A6C" w:rsidRPr="006869BE" w:rsidRDefault="00CB519B" w:rsidP="00A37A6C">
      <w:pPr>
        <w:rPr>
          <w:b/>
          <w:bCs/>
          <w:sz w:val="28"/>
          <w:szCs w:val="28"/>
        </w:rPr>
      </w:pPr>
      <w:hyperlink r:id="rId8" w:history="1">
        <w:r w:rsidR="00A37A6C" w:rsidRPr="006869BE">
          <w:rPr>
            <w:rStyle w:val="Hyperlink"/>
            <w:b/>
            <w:bCs/>
            <w:sz w:val="28"/>
            <w:szCs w:val="28"/>
          </w:rPr>
          <w:t>Service Centers</w:t>
        </w:r>
      </w:hyperlink>
    </w:p>
    <w:p w14:paraId="4ECC80DF" w14:textId="5E976E85" w:rsidR="00A37A6C" w:rsidRPr="006869BE" w:rsidRDefault="00A37A6C" w:rsidP="00A37A6C">
      <w:pPr>
        <w:rPr>
          <w:sz w:val="28"/>
          <w:szCs w:val="28"/>
        </w:rPr>
      </w:pPr>
      <w:r w:rsidRPr="006869BE">
        <w:rPr>
          <w:sz w:val="28"/>
          <w:szCs w:val="28"/>
        </w:rPr>
        <w:t>Swords to Plowshares Service Centers are the access point for veterans to obtain the resources they need. Upon the first visit, Service Center staff guide veterans to specific services to meet their needs, no matter your discharge status or identity.</w:t>
      </w:r>
    </w:p>
    <w:sectPr w:rsidR="00A37A6C" w:rsidRPr="00686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A31E4"/>
    <w:multiLevelType w:val="hybridMultilevel"/>
    <w:tmpl w:val="4BA2E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132810"/>
    <w:multiLevelType w:val="hybridMultilevel"/>
    <w:tmpl w:val="41CA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662731">
    <w:abstractNumId w:val="1"/>
  </w:num>
  <w:num w:numId="2" w16cid:durableId="1455367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39"/>
    <w:rsid w:val="0009699D"/>
    <w:rsid w:val="00243639"/>
    <w:rsid w:val="00531314"/>
    <w:rsid w:val="006869BE"/>
    <w:rsid w:val="00A37A6C"/>
    <w:rsid w:val="00AD0E76"/>
    <w:rsid w:val="00AD384C"/>
    <w:rsid w:val="00C305BE"/>
    <w:rsid w:val="00CB519B"/>
    <w:rsid w:val="00ED2414"/>
    <w:rsid w:val="00FB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4B41"/>
  <w15:chartTrackingRefBased/>
  <w15:docId w15:val="{4269271F-FBB4-4578-9340-E27DB8A7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414"/>
    <w:rPr>
      <w:color w:val="0563C1" w:themeColor="hyperlink"/>
      <w:u w:val="single"/>
    </w:rPr>
  </w:style>
  <w:style w:type="character" w:styleId="UnresolvedMention">
    <w:name w:val="Unresolved Mention"/>
    <w:basedOn w:val="DefaultParagraphFont"/>
    <w:uiPriority w:val="99"/>
    <w:semiHidden/>
    <w:unhideWhenUsed/>
    <w:rsid w:val="00ED2414"/>
    <w:rPr>
      <w:color w:val="605E5C"/>
      <w:shd w:val="clear" w:color="auto" w:fill="E1DFDD"/>
    </w:rPr>
  </w:style>
  <w:style w:type="paragraph" w:styleId="ListParagraph">
    <w:name w:val="List Paragraph"/>
    <w:basedOn w:val="Normal"/>
    <w:uiPriority w:val="34"/>
    <w:qFormat/>
    <w:rsid w:val="00ED2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ords-to-plowshares.org/service-centers" TargetMode="External"/><Relationship Id="rId3" Type="http://schemas.openxmlformats.org/officeDocument/2006/relationships/settings" Target="settings.xml"/><Relationship Id="rId7" Type="http://schemas.openxmlformats.org/officeDocument/2006/relationships/hyperlink" Target="https://www.swords-to-plowshares.org/services/health-and-welln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words-to-plowshares.org/services/housing"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167</Words>
  <Characters>952</Characters>
  <Application>Microsoft Office Word</Application>
  <DocSecurity>0</DocSecurity>
  <Lines>7</Lines>
  <Paragraphs>2</Paragraphs>
  <ScaleCrop>false</ScaleCrop>
  <Company>County of San Mateo</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Liebman</dc:creator>
  <cp:keywords/>
  <dc:description/>
  <cp:lastModifiedBy>Rachel Liebman</cp:lastModifiedBy>
  <cp:revision>10</cp:revision>
  <dcterms:created xsi:type="dcterms:W3CDTF">2023-06-20T19:40:00Z</dcterms:created>
  <dcterms:modified xsi:type="dcterms:W3CDTF">2023-09-28T19:13:00Z</dcterms:modified>
</cp:coreProperties>
</file>